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报刊补贴（其他）项目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>
      <w:pPr>
        <w:rPr>
          <w:rFonts w:ascii="仿宋" w:hAnsi="仿宋" w:eastAsia="仿宋"/>
          <w:sz w:val="36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900" w:firstLineChars="250"/>
        <w:rPr>
          <w:rFonts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>评价部门：西藏自治区科学技术协会</w:t>
      </w:r>
    </w:p>
    <w:p>
      <w:pPr>
        <w:ind w:firstLine="900" w:firstLineChars="250"/>
        <w:rPr>
          <w:rFonts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>被评价部门：西藏科技报社</w:t>
      </w:r>
    </w:p>
    <w:p>
      <w:pPr>
        <w:ind w:firstLine="900" w:firstLineChars="250"/>
        <w:rPr>
          <w:rFonts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>报告日期：  2024年5月20日</w:t>
      </w:r>
    </w:p>
    <w:p>
      <w:pPr>
        <w:ind w:firstLine="900" w:firstLineChars="250"/>
        <w:rPr>
          <w:rFonts w:ascii="仿宋" w:hAnsi="仿宋" w:eastAsia="仿宋"/>
          <w:sz w:val="36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2023 年度报刊补贴（其他）项目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绩效评价报告</w:t>
      </w:r>
    </w:p>
    <w:p>
      <w:pPr>
        <w:spacing w:line="560" w:lineRule="atLeast"/>
        <w:jc w:val="center"/>
        <w:rPr>
          <w:rFonts w:ascii="方正小标宋简体" w:hAnsi="方正小标宋简体" w:eastAsia="方正小标宋简体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560" w:lineRule="atLeast"/>
        <w:ind w:firstLineChars="0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基本情况</w:t>
      </w:r>
    </w:p>
    <w:p>
      <w:pPr>
        <w:spacing w:line="56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（一）项目概况</w:t>
      </w:r>
    </w:p>
    <w:p>
      <w:pPr>
        <w:spacing w:line="560" w:lineRule="atLeast"/>
        <w:ind w:left="7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《西藏科技报》（藏、汉文）是西藏自治区唯一一家全</w:t>
      </w:r>
    </w:p>
    <w:p>
      <w:pPr>
        <w:spacing w:line="56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公开发行的综合类科技报纸，报纸内容涉及国家时政、党的科技政策法规、实用农牧业技术、科普知识等，内容丰富多样且针对农牧民有藏汉双语版，在基层社会需求大，广受民众喜爱，对提升我区全民科学素质具有重要意义。创刊44年来，以丰富的内容、通俗灵活的报道形式、浓郁的高原特色在区内外读者中赢得了声誉。</w:t>
      </w:r>
    </w:p>
    <w:p>
      <w:pPr>
        <w:pStyle w:val="2"/>
        <w:spacing w:after="0" w:line="560" w:lineRule="atLeast"/>
        <w:ind w:firstLine="640" w:firstLineChars="200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报刊补贴（其他）项目经费预算25.69万元，包括：《西藏科技报》稿费支出8.03万元和向基层乡村、寺庙免费赠阅的邮寄发行支出16万元。2023年项目经费支出25.69万元，执行率为100%。</w:t>
      </w:r>
    </w:p>
    <w:p>
      <w:pPr>
        <w:spacing w:line="560" w:lineRule="atLeas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（二）项目绩效目标</w:t>
      </w:r>
    </w:p>
    <w:p>
      <w:pPr>
        <w:spacing w:line="560" w:lineRule="atLeas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总体</w:t>
      </w:r>
      <w:r>
        <w:rPr>
          <w:rFonts w:ascii="仿宋" w:hAnsi="仿宋" w:eastAsia="仿宋"/>
          <w:b/>
          <w:bCs/>
          <w:sz w:val="32"/>
          <w:szCs w:val="32"/>
        </w:rPr>
        <w:t>目标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西藏农牧区基础条件滞后，在基层纸媒仍有较大的社会需求,《西藏科技报》（藏、汉文）报纸出版发行，对提升我区全民科学素质具有重要意义。</w:t>
      </w:r>
    </w:p>
    <w:p>
      <w:pPr>
        <w:spacing w:line="560" w:lineRule="atLeas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阶段性</w:t>
      </w:r>
      <w:r>
        <w:rPr>
          <w:rFonts w:ascii="仿宋" w:hAnsi="仿宋" w:eastAsia="仿宋"/>
          <w:b/>
          <w:bCs/>
          <w:sz w:val="32"/>
          <w:szCs w:val="32"/>
        </w:rPr>
        <w:t>目标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用于保障全年藏汉文报刊发行和免费赠阅等。通过《西藏科技报》（藏、汉文）对中央和自治重大事项的传播、科普知识的普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及宣传，提升科协政治引领，助力西藏公民科学素质的提升。</w:t>
      </w:r>
    </w:p>
    <w:p>
      <w:pPr>
        <w:spacing w:line="560" w:lineRule="atLeas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560" w:lineRule="atLeas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_GB2312"/>
          <w:b/>
          <w:kern w:val="0"/>
          <w:sz w:val="32"/>
          <w:szCs w:val="32"/>
        </w:rPr>
        <w:t>（一）绩效评价目的、原则和依据、评价指标体系、评价方法</w:t>
      </w:r>
    </w:p>
    <w:p>
      <w:pPr>
        <w:spacing w:line="5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支出绩效评价是政府绩效管理的重要组成部分，是提高政府效能、坚持厉行节约的重要举措，为进一步加强项目绩效管理，本次绩效评价坚持科学规范、公正公开、分级分类、绩效相关的评价原则，依据国家和自治区相关法律、法规和规章制度及预算管理制度、资金管理办法及财务会计资料等，根据设定的绩效目标，坚持以定量和定性相结合的原则设计评分表，按照计划标准、行业标准、历史标准评价标准，运用成本效益分析法、比较法、因素分析法、公众评判法等围绕绩效目标，从项目的申请、管理、产出、效益等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方面科学设定评价指</w:t>
      </w:r>
      <w:r>
        <w:rPr>
          <w:rFonts w:hint="eastAsia" w:ascii="仿宋" w:hAnsi="仿宋" w:eastAsia="仿宋"/>
          <w:sz w:val="32"/>
          <w:szCs w:val="32"/>
        </w:rPr>
        <w:t>标体系，认真开展项目自评，评价结果将作为今后预算项目安排的重要依据。</w:t>
      </w:r>
    </w:p>
    <w:p>
      <w:pPr>
        <w:autoSpaceDE w:val="0"/>
        <w:autoSpaceDN w:val="0"/>
        <w:adjustRightInd w:val="0"/>
        <w:spacing w:line="56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zh-CN"/>
        </w:rPr>
        <w:t>（二）绩效评价工作过程</w:t>
      </w:r>
    </w:p>
    <w:p>
      <w:pPr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本次项目绩效评价程序共包括前期准备、评价实施、形成评价结果与报告四个阶段，共分四个步骤实施，即：前期准备阶段、现场核查阶段、形成初步报告阶段、报告完成阶段。  </w:t>
      </w:r>
    </w:p>
    <w:p>
      <w:pPr>
        <w:autoSpaceDE w:val="0"/>
        <w:autoSpaceDN w:val="0"/>
        <w:adjustRightInd w:val="0"/>
        <w:spacing w:line="56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（1）前期准备。</w:t>
      </w:r>
      <w:r>
        <w:rPr>
          <w:rFonts w:hint="eastAsia" w:ascii="仿宋" w:hAnsi="仿宋" w:eastAsia="仿宋"/>
          <w:sz w:val="32"/>
          <w:szCs w:val="32"/>
        </w:rPr>
        <w:t>在区科协党组的领导下，绩效评价工作由规划财务部牵头，各业务部门分管领导总体负责，各部门具体落实，认真开展项目评价工作。</w:t>
      </w:r>
    </w:p>
    <w:p>
      <w:pPr>
        <w:autoSpaceDE w:val="0"/>
        <w:autoSpaceDN w:val="0"/>
        <w:adjustRightInd w:val="0"/>
        <w:spacing w:line="560" w:lineRule="atLeast"/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（2）现场核查。</w:t>
      </w:r>
      <w:r>
        <w:rPr>
          <w:rFonts w:hint="eastAsia" w:ascii="仿宋" w:hAnsi="仿宋" w:eastAsia="仿宋"/>
          <w:sz w:val="32"/>
          <w:szCs w:val="32"/>
        </w:rPr>
        <w:t>收集项目执行相关政策、法律、法规和规章制度、中长期发展规划；查阅会计资料、项目执行成果等资料。</w:t>
      </w:r>
    </w:p>
    <w:p>
      <w:pPr>
        <w:autoSpaceDE w:val="0"/>
        <w:autoSpaceDN w:val="0"/>
        <w:adjustRightInd w:val="0"/>
        <w:spacing w:line="560" w:lineRule="atLeast"/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（3）填制自评表。</w:t>
      </w:r>
      <w:r>
        <w:rPr>
          <w:rFonts w:hint="eastAsia" w:ascii="仿宋" w:hAnsi="仿宋" w:eastAsia="仿宋"/>
          <w:sz w:val="32"/>
          <w:szCs w:val="32"/>
        </w:rPr>
        <w:t>根据预算批复时确定的绩效指标，包括项目的产出数量、质量、时效、成本，以及经济效益、社会效益、生态效益、可持续影响、服务对象满意度等对照绩效实现情况由部门进行自评打分。</w:t>
      </w:r>
    </w:p>
    <w:p>
      <w:pPr>
        <w:autoSpaceDE w:val="0"/>
        <w:autoSpaceDN w:val="0"/>
        <w:adjustRightInd w:val="0"/>
        <w:spacing w:line="560" w:lineRule="atLeast"/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（4）综合评分。</w:t>
      </w:r>
      <w:r>
        <w:rPr>
          <w:rFonts w:hint="eastAsia" w:ascii="仿宋" w:hAnsi="仿宋" w:eastAsia="仿宋"/>
          <w:sz w:val="32"/>
          <w:szCs w:val="32"/>
        </w:rPr>
        <w:t>从项目决策、过程、产出和效益四个方面，结合实际设置项目立项、绩效目标、资金投入、资金管理、组织实施、产出数量等10个二级指标和立项依据充分性、立项程序规范性、绩效目标合理性绩效指标明确性等17个三级指标确定评价内容和分值，对照项目实际进行综合评分。</w:t>
      </w:r>
    </w:p>
    <w:p>
      <w:pPr>
        <w:autoSpaceDE w:val="0"/>
        <w:autoSpaceDN w:val="0"/>
        <w:adjustRightInd w:val="0"/>
        <w:spacing w:line="560" w:lineRule="atLeast"/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（5）撰写评价报告</w:t>
      </w:r>
      <w:r>
        <w:rPr>
          <w:rFonts w:hint="eastAsia" w:ascii="仿宋" w:hAnsi="仿宋" w:eastAsia="仿宋"/>
          <w:sz w:val="32"/>
          <w:szCs w:val="32"/>
        </w:rPr>
        <w:t>。根据绩效评价一级、二级、三级指标体系内容评分结果，结合项目绩效评价工作开展情况撰写绩效评价报告。</w:t>
      </w:r>
    </w:p>
    <w:p>
      <w:pPr>
        <w:autoSpaceDE w:val="0"/>
        <w:autoSpaceDN w:val="0"/>
        <w:adjustRightInd w:val="0"/>
        <w:spacing w:line="56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三、综合评价情况及评价结论</w:t>
      </w:r>
    </w:p>
    <w:p>
      <w:pPr>
        <w:autoSpaceDE w:val="0"/>
        <w:autoSpaceDN w:val="0"/>
        <w:adjustRightIn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根据评价指标体系和评分标准对西藏科技报社2023年度报刊补贴（其他）项目进行综合评价，项目得分为96分，其中：产出指标43分，效益指标34分，满意度指标9分，效益10分。项目绩效评级为“优”。 从绩效评价的情况来看，项目执行总体较好，有效地保证了项目作用发挥和资金使用效益。报刊补贴（其他）项目资金专款专用，项目内容均按照项目计划和工作要求落实完成。</w:t>
      </w:r>
    </w:p>
    <w:p>
      <w:pPr>
        <w:spacing w:line="560" w:lineRule="atLeast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四、绩效评价指标分析</w:t>
      </w:r>
    </w:p>
    <w:p>
      <w:pPr>
        <w:autoSpaceDE w:val="0"/>
        <w:autoSpaceDN w:val="0"/>
        <w:adjustRightInd w:val="0"/>
        <w:spacing w:line="56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(一)项目决策情况分析</w:t>
      </w:r>
    </w:p>
    <w:p>
      <w:pPr>
        <w:autoSpaceDE w:val="0"/>
        <w:autoSpaceDN w:val="0"/>
        <w:adjustRightIn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严格按照西藏科技报社职能职责进行安排，符合中央和自治区有关法律法规；项目审批按照区科协项目管理和“三重一大”要求进行申报、审批。但评价中发现对项目绩效目标细化分解和科学论证工作还不够，需要进一步加强。</w:t>
      </w:r>
    </w:p>
    <w:p>
      <w:pPr>
        <w:autoSpaceDE w:val="0"/>
        <w:autoSpaceDN w:val="0"/>
        <w:adjustRightInd w:val="0"/>
        <w:spacing w:line="56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（二）项目过程情况</w:t>
      </w:r>
    </w:p>
    <w:p>
      <w:pPr>
        <w:autoSpaceDE w:val="0"/>
        <w:autoSpaceDN w:val="0"/>
        <w:adjustRightIn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按照自治区财政一般公共预算资金审批程序下达，于年初到位，严格按照中央、自治区财经法规和区科协财务管理办法使用，业务管理制度比较健全，责任明确，资金使用合规。2023年《西藏科技报》藏、汉文报纸年初设定绩效目标稿费支出10万元，邮寄费14.03万元。项目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当年预算</w:t>
      </w:r>
      <w:r>
        <w:rPr>
          <w:rFonts w:hint="eastAsia" w:ascii="仿宋" w:hAnsi="仿宋" w:eastAsia="仿宋"/>
          <w:sz w:val="32"/>
          <w:szCs w:val="32"/>
        </w:rPr>
        <w:t>支出24.03万元，执行率为100%。</w:t>
      </w:r>
    </w:p>
    <w:p>
      <w:pPr>
        <w:autoSpaceDE w:val="0"/>
        <w:autoSpaceDN w:val="0"/>
        <w:adjustRightInd w:val="0"/>
        <w:spacing w:line="56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（三）项目产出情况</w:t>
      </w:r>
    </w:p>
    <w:p>
      <w:pPr>
        <w:autoSpaceDE w:val="0"/>
        <w:autoSpaceDN w:val="0"/>
        <w:adjustRightIn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发行费执行情况。西藏科技报社于2022年年初与中国邮政集团有限公司西藏自治区分公司签定发行合同，该公司按时完成报纸发行工作达到项目预期绩效。二是稿费、翻译费、审译费等。根据《西藏科技报》刊载内容支付稿费、翻译费、审译费等, 全部完成，资金执行率为100%。</w:t>
      </w:r>
    </w:p>
    <w:p>
      <w:pPr>
        <w:spacing w:line="560" w:lineRule="atLeast"/>
        <w:ind w:firstLine="643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（四）项目效益情况</w:t>
      </w:r>
    </w:p>
    <w:p>
      <w:pPr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通过实施西藏科技报报刊补贴（其他费用）项目，较好地完成了2023年西藏科技报报刊补贴（其他费用）各项指标任务，对提升我区广大农牧民科学素质，推动新农牧区建设等方面起到了积极作用。</w:t>
      </w:r>
    </w:p>
    <w:p>
      <w:pPr>
        <w:spacing w:line="560" w:lineRule="atLeast"/>
        <w:ind w:firstLine="643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五、主要经验及做法、存在的问题及原因分析</w:t>
      </w:r>
    </w:p>
    <w:p>
      <w:pPr>
        <w:spacing w:line="560" w:lineRule="atLeast"/>
        <w:ind w:firstLine="643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（一）取得经验及做法。</w:t>
      </w:r>
      <w:r>
        <w:rPr>
          <w:rFonts w:hint="eastAsia" w:ascii="仿宋" w:hAnsi="仿宋" w:eastAsia="仿宋"/>
          <w:sz w:val="32"/>
          <w:szCs w:val="32"/>
        </w:rPr>
        <w:t>一是加强对项目各项工作的领导，及时督促落实，加快项目资金执行进度；二是充分发挥中国邮政集团有限公司西藏自治区分公司的优势，推动报纸发行工作稳步、健康开展；三是根据项目要求和进度安排，按照时间节点适时跟进，推动项目工作落实；四是加强稿费、翻译费、审译费等的发放监管。</w:t>
      </w:r>
    </w:p>
    <w:p>
      <w:pPr>
        <w:spacing w:line="560" w:lineRule="atLeast"/>
        <w:ind w:firstLine="643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（二）存在的问题及原因分析。</w:t>
      </w:r>
      <w:r>
        <w:rPr>
          <w:rFonts w:hint="eastAsia" w:ascii="仿宋" w:hAnsi="仿宋" w:eastAsia="仿宋"/>
          <w:sz w:val="32"/>
          <w:szCs w:val="32"/>
        </w:rPr>
        <w:t>一是刊载内容质量需进一步提升。主要是报纸原创稿件数量不足，需在增加原创稿件数量和质量上加大改革力度。二是稿费发放管理制度需进一步完善。通过对稿费、翻译费等发放建立明确管理要求，提高资金监督力度。</w:t>
      </w:r>
    </w:p>
    <w:p>
      <w:pPr>
        <w:spacing w:line="560" w:lineRule="atLeas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无。</w:t>
      </w:r>
    </w:p>
    <w:p>
      <w:pPr>
        <w:spacing w:line="560" w:lineRule="atLeas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</w:t>
      </w:r>
    </w:p>
    <w:p>
      <w:pPr>
        <w:spacing w:line="560" w:lineRule="atLeas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A094D"/>
    <w:multiLevelType w:val="multilevel"/>
    <w:tmpl w:val="225A094D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3Yjc5OTczYTMzZDMzNjlmYmI3YmRkYzVhZTQ3YWIifQ=="/>
  </w:docVars>
  <w:rsids>
    <w:rsidRoot w:val="00E32F6C"/>
    <w:rsid w:val="00031B32"/>
    <w:rsid w:val="0003363A"/>
    <w:rsid w:val="00056A52"/>
    <w:rsid w:val="000C3588"/>
    <w:rsid w:val="001029C5"/>
    <w:rsid w:val="001031AF"/>
    <w:rsid w:val="00116C4D"/>
    <w:rsid w:val="00321C0B"/>
    <w:rsid w:val="00337A00"/>
    <w:rsid w:val="003E32F0"/>
    <w:rsid w:val="00435F80"/>
    <w:rsid w:val="00472D68"/>
    <w:rsid w:val="005264CA"/>
    <w:rsid w:val="005B0D81"/>
    <w:rsid w:val="005D1D5B"/>
    <w:rsid w:val="005D2036"/>
    <w:rsid w:val="006351B2"/>
    <w:rsid w:val="00636E8C"/>
    <w:rsid w:val="006F071A"/>
    <w:rsid w:val="006F26A0"/>
    <w:rsid w:val="0076611B"/>
    <w:rsid w:val="008709C6"/>
    <w:rsid w:val="008D7581"/>
    <w:rsid w:val="009353D2"/>
    <w:rsid w:val="00992906"/>
    <w:rsid w:val="00A04227"/>
    <w:rsid w:val="00A34FA5"/>
    <w:rsid w:val="00AA2F61"/>
    <w:rsid w:val="00AE5060"/>
    <w:rsid w:val="00B27001"/>
    <w:rsid w:val="00B73052"/>
    <w:rsid w:val="00C62BB8"/>
    <w:rsid w:val="00C94549"/>
    <w:rsid w:val="00D17FA7"/>
    <w:rsid w:val="00D42009"/>
    <w:rsid w:val="00E32F6C"/>
    <w:rsid w:val="00E751EA"/>
    <w:rsid w:val="00F90A46"/>
    <w:rsid w:val="00FA20C7"/>
    <w:rsid w:val="3DC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eastAsia="宋体" w:cs="Courier New"/>
      <w:kern w:val="0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358</Words>
  <Characters>2041</Characters>
  <Lines>17</Lines>
  <Paragraphs>4</Paragraphs>
  <TotalTime>23</TotalTime>
  <ScaleCrop>false</ScaleCrop>
  <LinksUpToDate>false</LinksUpToDate>
  <CharactersWithSpaces>2395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2024-05-21T09:29:00Z</dcterms:created>
  <dc:creator>Administrator</dc:creator>
  <cp:lastModifiedBy>7m</cp:lastModifiedBy>
  <cp:lastPrinted>2024-05-21T09:30:00Z</cp:lastPrinted>
  <dcterms:modified xsi:type="dcterms:W3CDTF">2024-09-02T13:54:12Z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84C72B4590934487B83E0032EBA10096_12</vt:lpwstr>
  </property>
</Properties>
</file>